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58" w:rsidRPr="00377458" w:rsidRDefault="00377458" w:rsidP="00377458">
      <w:pPr>
        <w:rPr>
          <w:b/>
          <w:sz w:val="28"/>
          <w:szCs w:val="28"/>
          <w:u w:val="single"/>
        </w:rPr>
      </w:pPr>
      <w:bookmarkStart w:id="0" w:name="_GoBack"/>
      <w:bookmarkEnd w:id="0"/>
      <w:r w:rsidRPr="00377458">
        <w:rPr>
          <w:b/>
          <w:sz w:val="28"/>
          <w:szCs w:val="28"/>
          <w:u w:val="single"/>
        </w:rPr>
        <w:t>By Law &amp; Rules of the North West Umpires Association</w:t>
      </w:r>
    </w:p>
    <w:p w:rsidR="00F10699" w:rsidRDefault="00F10699" w:rsidP="00F10699"/>
    <w:p w:rsidR="00F10699" w:rsidRPr="00F10699" w:rsidRDefault="00F10699" w:rsidP="001344F7">
      <w:pPr>
        <w:pStyle w:val="ListParagraph"/>
        <w:numPr>
          <w:ilvl w:val="0"/>
          <w:numId w:val="17"/>
        </w:numPr>
        <w:rPr>
          <w:rFonts w:ascii="Verdana" w:hAnsi="Verdana"/>
          <w:sz w:val="20"/>
          <w:szCs w:val="20"/>
        </w:rPr>
      </w:pPr>
      <w:r>
        <w:rPr>
          <w:rFonts w:ascii="Verdana" w:hAnsi="Verdana"/>
          <w:sz w:val="20"/>
          <w:szCs w:val="20"/>
        </w:rPr>
        <w:t>MATCH PAYMENTS</w:t>
      </w:r>
    </w:p>
    <w:p w:rsidR="00377458" w:rsidRDefault="00377458" w:rsidP="001344F7">
      <w:pPr>
        <w:pStyle w:val="ListParagraph"/>
        <w:numPr>
          <w:ilvl w:val="4"/>
          <w:numId w:val="17"/>
        </w:numPr>
        <w:ind w:left="1619"/>
      </w:pPr>
      <w:r>
        <w:t>The NWUA has the responsibility for contracting of football Associations for umpires’ services and the payment of NWUA umpires for those services.</w:t>
      </w:r>
    </w:p>
    <w:p w:rsidR="001340B7" w:rsidRDefault="001340B7" w:rsidP="00F10699">
      <w:pPr>
        <w:ind w:left="1259"/>
      </w:pPr>
    </w:p>
    <w:p w:rsidR="00B71D13" w:rsidRPr="00FD1B7D" w:rsidRDefault="0098256B" w:rsidP="001344F7">
      <w:pPr>
        <w:pStyle w:val="BodyTextIndent2"/>
        <w:numPr>
          <w:ilvl w:val="0"/>
          <w:numId w:val="17"/>
        </w:numPr>
      </w:pPr>
      <w:r w:rsidRPr="00FD1B7D">
        <w:t>Fee</w:t>
      </w:r>
    </w:p>
    <w:p w:rsidR="00B71D13" w:rsidRPr="00FD1B7D" w:rsidRDefault="00B71D13" w:rsidP="00B71D13">
      <w:pPr>
        <w:pStyle w:val="ListParagraph"/>
      </w:pPr>
    </w:p>
    <w:p w:rsidR="0098256B" w:rsidRPr="00FD1B7D" w:rsidRDefault="0098256B" w:rsidP="0098256B">
      <w:pPr>
        <w:pStyle w:val="BodyTextIndent2"/>
        <w:numPr>
          <w:ilvl w:val="0"/>
          <w:numId w:val="21"/>
        </w:numPr>
      </w:pPr>
      <w:r w:rsidRPr="00FD1B7D">
        <w:t>the annual subscription payable by members shall be the set by the Committee in each year</w:t>
      </w:r>
    </w:p>
    <w:p w:rsidR="0098256B" w:rsidRPr="00FD1B7D" w:rsidRDefault="0098256B" w:rsidP="0098256B">
      <w:pPr>
        <w:pStyle w:val="BodyTextIndent2"/>
        <w:numPr>
          <w:ilvl w:val="0"/>
          <w:numId w:val="21"/>
        </w:numPr>
        <w:tabs>
          <w:tab w:val="num" w:pos="1440"/>
        </w:tabs>
      </w:pPr>
      <w:r w:rsidRPr="00FD1B7D">
        <w:t>The annual subscription of a member is due and payable on or before the 1</w:t>
      </w:r>
      <w:r w:rsidRPr="00FD1B7D">
        <w:rPr>
          <w:vertAlign w:val="superscript"/>
        </w:rPr>
        <w:t>st</w:t>
      </w:r>
      <w:r w:rsidRPr="00FD1B7D">
        <w:t xml:space="preserve"> day of May of each year, or such other date as may be approved by the committee from time to time.</w:t>
      </w:r>
    </w:p>
    <w:p w:rsidR="00F10699" w:rsidRDefault="00F10699" w:rsidP="00F10699">
      <w:pPr>
        <w:pStyle w:val="BodyTextIndent2"/>
        <w:ind w:left="1259" w:firstLine="0"/>
      </w:pPr>
    </w:p>
    <w:p w:rsidR="00B71D13" w:rsidRDefault="00B71D13" w:rsidP="001344F7">
      <w:pPr>
        <w:pStyle w:val="BodyTextIndent2"/>
        <w:numPr>
          <w:ilvl w:val="0"/>
          <w:numId w:val="17"/>
        </w:numPr>
        <w:tabs>
          <w:tab w:val="clear" w:pos="540"/>
        </w:tabs>
      </w:pPr>
      <w:r>
        <w:t>MERIT AWARD</w:t>
      </w:r>
    </w:p>
    <w:p w:rsidR="00B71D13" w:rsidRDefault="00B71D13" w:rsidP="00B71D13">
      <w:pPr>
        <w:pStyle w:val="BodyTextIndent2"/>
        <w:tabs>
          <w:tab w:val="clear" w:pos="540"/>
        </w:tabs>
      </w:pPr>
    </w:p>
    <w:p w:rsidR="00B71D13" w:rsidRDefault="00B71D13" w:rsidP="001344F7">
      <w:pPr>
        <w:pStyle w:val="BodyTextIndent2"/>
        <w:numPr>
          <w:ilvl w:val="4"/>
          <w:numId w:val="17"/>
        </w:numPr>
        <w:tabs>
          <w:tab w:val="clear" w:pos="540"/>
        </w:tabs>
        <w:ind w:left="1619"/>
      </w:pPr>
      <w:r>
        <w:t xml:space="preserve">The Association, on the recommendation of the committee, may present a Merit Certificate or suitable award to those people who have completed ten </w:t>
      </w:r>
      <w:r w:rsidR="00F10699">
        <w:t>years’ service</w:t>
      </w:r>
      <w:r>
        <w:t xml:space="preserve"> (any period of service in the unincorporated association known as the North West Umpires Association being included), upon the committee being satisfied that the persons conduct and performance has been satisfactory.</w:t>
      </w:r>
    </w:p>
    <w:p w:rsidR="00B71D13" w:rsidRDefault="00B71D13" w:rsidP="001344F7">
      <w:pPr>
        <w:pStyle w:val="BodyTextIndent2"/>
        <w:tabs>
          <w:tab w:val="num" w:pos="540"/>
        </w:tabs>
        <w:ind w:left="1259" w:firstLine="0"/>
      </w:pPr>
    </w:p>
    <w:p w:rsidR="00B71D13" w:rsidRDefault="00B71D13" w:rsidP="00B71D13">
      <w:pPr>
        <w:pStyle w:val="BodyTextIndent2"/>
        <w:tabs>
          <w:tab w:val="num" w:pos="540"/>
        </w:tabs>
        <w:ind w:left="1260" w:firstLine="0"/>
      </w:pPr>
    </w:p>
    <w:p w:rsidR="00B71D13" w:rsidRDefault="00B71D13" w:rsidP="00B71D13">
      <w:pPr>
        <w:pStyle w:val="BodyTextIndent2"/>
        <w:tabs>
          <w:tab w:val="clear" w:pos="540"/>
        </w:tabs>
      </w:pPr>
    </w:p>
    <w:p w:rsidR="00B71D13" w:rsidRDefault="00B71D13" w:rsidP="001344F7">
      <w:pPr>
        <w:pStyle w:val="BodyTextIndent2"/>
        <w:numPr>
          <w:ilvl w:val="0"/>
          <w:numId w:val="17"/>
        </w:numPr>
        <w:tabs>
          <w:tab w:val="clear" w:pos="540"/>
        </w:tabs>
      </w:pPr>
      <w:r>
        <w:t>TWENTY-YEAR BADGE</w:t>
      </w:r>
    </w:p>
    <w:p w:rsidR="00B71D13" w:rsidRDefault="00B71D13" w:rsidP="00B71D13">
      <w:pPr>
        <w:pStyle w:val="BodyTextIndent2"/>
        <w:tabs>
          <w:tab w:val="clear" w:pos="540"/>
        </w:tabs>
      </w:pPr>
    </w:p>
    <w:p w:rsidR="00B71D13" w:rsidRDefault="00B71D13" w:rsidP="001344F7">
      <w:pPr>
        <w:pStyle w:val="BodyTextIndent2"/>
        <w:numPr>
          <w:ilvl w:val="4"/>
          <w:numId w:val="17"/>
        </w:numPr>
        <w:tabs>
          <w:tab w:val="clear" w:pos="540"/>
        </w:tabs>
        <w:ind w:left="1619"/>
      </w:pPr>
      <w:r>
        <w:t>The Association, on the recommendation of the committee, may present a twenty year badge or suitable award to those people who have completed ten year’s service (any period of service in the unincorporated association known as the North West Umpires Association being included), upon the committee being satisfied that the persons conduct and performance has been satisfactory.</w:t>
      </w:r>
    </w:p>
    <w:p w:rsidR="00B71D13" w:rsidRDefault="00B71D13" w:rsidP="00F10699">
      <w:pPr>
        <w:ind w:left="1259"/>
      </w:pPr>
    </w:p>
    <w:p w:rsidR="00B71D13" w:rsidRPr="006E1D93" w:rsidRDefault="00B1351C" w:rsidP="001344F7">
      <w:pPr>
        <w:pStyle w:val="ListParagraph"/>
        <w:numPr>
          <w:ilvl w:val="0"/>
          <w:numId w:val="17"/>
        </w:numPr>
        <w:rPr>
          <w:bCs/>
          <w:szCs w:val="20"/>
        </w:rPr>
      </w:pPr>
      <w:r>
        <w:rPr>
          <w:bCs/>
          <w:szCs w:val="20"/>
        </w:rPr>
        <w:t xml:space="preserve">Life Members &amp; </w:t>
      </w:r>
      <w:r w:rsidR="00B71D13" w:rsidRPr="006E1D93">
        <w:rPr>
          <w:bCs/>
          <w:szCs w:val="20"/>
        </w:rPr>
        <w:t>Hall of Fame Membership</w:t>
      </w:r>
    </w:p>
    <w:p w:rsidR="00B71D13" w:rsidRPr="008F6197" w:rsidRDefault="00B1351C" w:rsidP="008F6197">
      <w:pPr>
        <w:pStyle w:val="ListParagraph"/>
        <w:numPr>
          <w:ilvl w:val="0"/>
          <w:numId w:val="23"/>
        </w:numPr>
        <w:rPr>
          <w:szCs w:val="20"/>
        </w:rPr>
      </w:pPr>
      <w:r w:rsidRPr="008F6197">
        <w:rPr>
          <w:bCs/>
          <w:szCs w:val="20"/>
        </w:rPr>
        <w:t xml:space="preserve">Life Members &amp; </w:t>
      </w:r>
      <w:r w:rsidR="00B71D13" w:rsidRPr="008F6197">
        <w:rPr>
          <w:szCs w:val="20"/>
        </w:rPr>
        <w:t>Hall of Fame members of the Association shall be –</w:t>
      </w:r>
    </w:p>
    <w:p w:rsidR="00B71D13" w:rsidRPr="008F6197" w:rsidRDefault="00B71D13" w:rsidP="008F6197">
      <w:pPr>
        <w:pStyle w:val="ListParagraph"/>
        <w:rPr>
          <w:szCs w:val="20"/>
        </w:rPr>
      </w:pPr>
      <w:r w:rsidRPr="008F6197">
        <w:rPr>
          <w:b/>
          <w:bCs/>
          <w:szCs w:val="20"/>
        </w:rPr>
        <w:t>Eligibility for nominations -</w:t>
      </w:r>
      <w:r w:rsidR="008F6197" w:rsidRPr="008F6197">
        <w:rPr>
          <w:szCs w:val="20"/>
        </w:rPr>
        <w:t xml:space="preserve"> Those persons who on the sole </w:t>
      </w:r>
      <w:r w:rsidRPr="008F6197">
        <w:rPr>
          <w:szCs w:val="20"/>
        </w:rPr>
        <w:t>recommendation of the committee have or had:</w:t>
      </w:r>
    </w:p>
    <w:p w:rsidR="00B71D13" w:rsidRPr="008F6197" w:rsidRDefault="00B71D13" w:rsidP="008F6197">
      <w:pPr>
        <w:pStyle w:val="ListParagraph"/>
        <w:numPr>
          <w:ilvl w:val="1"/>
          <w:numId w:val="23"/>
        </w:numPr>
        <w:rPr>
          <w:szCs w:val="20"/>
        </w:rPr>
      </w:pPr>
      <w:r w:rsidRPr="008F6197">
        <w:rPr>
          <w:szCs w:val="20"/>
        </w:rPr>
        <w:t>Life membership of the Association.</w:t>
      </w:r>
    </w:p>
    <w:p w:rsidR="00B71D13" w:rsidRPr="008F6197" w:rsidRDefault="001344F7" w:rsidP="008F6197">
      <w:pPr>
        <w:pStyle w:val="ListParagraph"/>
        <w:numPr>
          <w:ilvl w:val="1"/>
          <w:numId w:val="23"/>
        </w:numPr>
        <w:rPr>
          <w:szCs w:val="20"/>
        </w:rPr>
      </w:pPr>
      <w:r w:rsidRPr="008F6197">
        <w:rPr>
          <w:szCs w:val="20"/>
        </w:rPr>
        <w:t>Contributed</w:t>
      </w:r>
      <w:r w:rsidR="00B71D13" w:rsidRPr="008F6197">
        <w:rPr>
          <w:szCs w:val="20"/>
        </w:rPr>
        <w:t xml:space="preserve"> something to the betterment of umpiring of our Association in some way. (This could include but is not limited to: committee member, volunteer for task/s, tribunal representative, fundraiser, represent umpiring in any capacity for the betterment of umpiring such as patron, financial contribution, coaching or any other positive contribution) </w:t>
      </w:r>
    </w:p>
    <w:p w:rsidR="00B71D13" w:rsidRDefault="00B71D13" w:rsidP="00F10699">
      <w:pPr>
        <w:ind w:left="1259"/>
        <w:rPr>
          <w:b/>
          <w:bCs/>
          <w:szCs w:val="20"/>
        </w:rPr>
      </w:pPr>
    </w:p>
    <w:p w:rsidR="001344F7" w:rsidRPr="005F1668" w:rsidRDefault="001344F7" w:rsidP="00F10699">
      <w:pPr>
        <w:ind w:left="1259"/>
        <w:rPr>
          <w:b/>
          <w:bCs/>
          <w:szCs w:val="20"/>
        </w:rPr>
      </w:pPr>
    </w:p>
    <w:p w:rsidR="00B71D13" w:rsidRPr="008F6197" w:rsidRDefault="00B71D13" w:rsidP="008F6197">
      <w:pPr>
        <w:pStyle w:val="ListParagraph"/>
        <w:numPr>
          <w:ilvl w:val="0"/>
          <w:numId w:val="23"/>
        </w:numPr>
        <w:rPr>
          <w:szCs w:val="20"/>
        </w:rPr>
      </w:pPr>
      <w:r w:rsidRPr="008F6197">
        <w:rPr>
          <w:b/>
          <w:bCs/>
          <w:szCs w:val="20"/>
        </w:rPr>
        <w:t>Determination of Successful Nominees –</w:t>
      </w:r>
      <w:r w:rsidRPr="008F6197">
        <w:rPr>
          <w:szCs w:val="20"/>
        </w:rPr>
        <w:t xml:space="preserve"> Those persons nominated and fulfil rule </w:t>
      </w:r>
      <w:r w:rsidR="008F6197" w:rsidRPr="008F6197">
        <w:rPr>
          <w:szCs w:val="20"/>
        </w:rPr>
        <w:t>5 (1)</w:t>
      </w:r>
      <w:r w:rsidRPr="008F6197">
        <w:rPr>
          <w:szCs w:val="20"/>
        </w:rPr>
        <w:t xml:space="preserve"> and have been determined to be successful nominations by a “panel” of people made up of 3 appointed North West Umpires Association life members, the committee executive and chaired by an independent chairperson. The steps to follow for Hall of Fame nominations will be:</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Nominations including full history of the nominee to be given to the full committee by any current financial member.</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lastRenderedPageBreak/>
        <w:t xml:space="preserve">The full committee to pass or fail the nomination based on the </w:t>
      </w:r>
      <w:r>
        <w:rPr>
          <w:rFonts w:ascii="Verdana" w:hAnsi="Verdana"/>
          <w:sz w:val="20"/>
          <w:szCs w:val="20"/>
        </w:rPr>
        <w:t>2</w:t>
      </w:r>
      <w:r w:rsidRPr="005F1668">
        <w:rPr>
          <w:rFonts w:ascii="Verdana" w:hAnsi="Verdana"/>
          <w:sz w:val="20"/>
          <w:szCs w:val="20"/>
        </w:rPr>
        <w:t xml:space="preserve"> essential criteria in Rule </w:t>
      </w:r>
      <w:r w:rsidR="008F6197" w:rsidRPr="008F6197">
        <w:rPr>
          <w:szCs w:val="20"/>
        </w:rPr>
        <w:t>5 (</w:t>
      </w:r>
      <w:r w:rsidR="008F6197">
        <w:rPr>
          <w:szCs w:val="20"/>
        </w:rPr>
        <w:t>1)</w:t>
      </w:r>
      <w:r w:rsidRPr="005F1668">
        <w:rPr>
          <w:rFonts w:ascii="Verdana" w:hAnsi="Verdana"/>
          <w:sz w:val="20"/>
          <w:szCs w:val="20"/>
        </w:rPr>
        <w:t xml:space="preserve"> </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If the nomination is unsuccessful then the committee must notify the nominator and the reason/s why.</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 xml:space="preserve">If the nomination fulfils Rule </w:t>
      </w:r>
      <w:r w:rsidR="008F6197" w:rsidRPr="008F6197">
        <w:rPr>
          <w:szCs w:val="20"/>
        </w:rPr>
        <w:t>5 (</w:t>
      </w:r>
      <w:r w:rsidR="008F6197">
        <w:rPr>
          <w:szCs w:val="20"/>
        </w:rPr>
        <w:t>1)</w:t>
      </w:r>
      <w:r w:rsidRPr="005F1668">
        <w:rPr>
          <w:rFonts w:ascii="Verdana" w:hAnsi="Verdana"/>
          <w:sz w:val="20"/>
          <w:szCs w:val="20"/>
        </w:rPr>
        <w:t xml:space="preserve"> the committee executive will then forward this nomination to a “Panel”. The Panel will be made up of 3 life members along with the current committee executive and will be chaired by an independent person appointed by the committee executive. The purpose of the Panel is to determine the merit of the nomination and if the nomination is either successful or unsuccessful. </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If the nomination is successful then it is to be tabled at Annual General Meeting of the Association.</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Objections are to be called for any nomination from any current financial member of the Association. Such objections are to be open for a period of 7 days from the Annual General Meeting. Objections must be given in person to the committee executive.</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If there are no objections lodged within the 7 day period then “Hall of Fame” shall be awarded to the nominee.</w:t>
      </w:r>
    </w:p>
    <w:p w:rsidR="00B71D13" w:rsidRPr="005F1668" w:rsidRDefault="00B71D13" w:rsidP="008F6197">
      <w:pPr>
        <w:pStyle w:val="ListParagraph"/>
        <w:numPr>
          <w:ilvl w:val="1"/>
          <w:numId w:val="23"/>
        </w:numPr>
        <w:rPr>
          <w:rFonts w:ascii="Verdana" w:hAnsi="Verdana"/>
          <w:sz w:val="20"/>
          <w:szCs w:val="20"/>
        </w:rPr>
      </w:pPr>
      <w:r w:rsidRPr="005F1668">
        <w:rPr>
          <w:rFonts w:ascii="Verdana" w:hAnsi="Verdana"/>
          <w:sz w:val="20"/>
          <w:szCs w:val="20"/>
        </w:rPr>
        <w:t>If there are objections lodged within the 7 day period the “Panel” will review the nomination and take the objection/s and reasons into further consideration. The Panel will reconvene to determine whether the Hall of Fame award is successful or unsuccessful and this decision shall be final.</w:t>
      </w:r>
    </w:p>
    <w:p w:rsidR="00B71D13" w:rsidRDefault="00B71D13" w:rsidP="001344F7">
      <w:pPr>
        <w:ind w:left="1259"/>
      </w:pPr>
    </w:p>
    <w:p w:rsidR="001344F7" w:rsidRDefault="001344F7" w:rsidP="00454A27">
      <w:pPr>
        <w:pStyle w:val="BodyTextIndent2"/>
        <w:numPr>
          <w:ilvl w:val="0"/>
          <w:numId w:val="17"/>
        </w:numPr>
      </w:pPr>
      <w:r>
        <w:t>NOMINATIONS</w:t>
      </w:r>
    </w:p>
    <w:p w:rsidR="00377458" w:rsidRDefault="00377458" w:rsidP="001344F7">
      <w:pPr>
        <w:pStyle w:val="BodyTextIndent2"/>
        <w:numPr>
          <w:ilvl w:val="0"/>
          <w:numId w:val="18"/>
        </w:numPr>
        <w:ind w:left="1259"/>
      </w:pPr>
      <w:r>
        <w:t xml:space="preserve">Nominations of candidates for election as officers of the Association or as ordinary committeemen – </w:t>
      </w:r>
    </w:p>
    <w:p w:rsidR="00377458" w:rsidRDefault="00377458" w:rsidP="001344F7">
      <w:pPr>
        <w:pStyle w:val="BodyTextIndent2"/>
        <w:ind w:left="1259" w:firstLine="0"/>
      </w:pPr>
      <w:r>
        <w:t>shall be made in writing signed by two members of the Association and accompanied by the written consent of the candidate (which may be endorsed on the form of nomination); and</w:t>
      </w:r>
      <w:r w:rsidR="00D462FC">
        <w:t xml:space="preserve"> </w:t>
      </w:r>
      <w:r>
        <w:t>shall be delivered to the Public Office of the Association at least ten days before the date fixed for the holding of the annual general meeting.</w:t>
      </w:r>
    </w:p>
    <w:p w:rsidR="00377458" w:rsidRDefault="00377458" w:rsidP="001344F7">
      <w:pPr>
        <w:pStyle w:val="BodyTextIndent2"/>
        <w:numPr>
          <w:ilvl w:val="0"/>
          <w:numId w:val="18"/>
        </w:numPr>
        <w:ind w:left="1259"/>
      </w:pPr>
      <w:r>
        <w:t>If insufficient nominations are received to fill all vacancies on the committee, the candidates nominated shall be deemed to be elected and further nominations shall be received at the annual general meeting.</w:t>
      </w:r>
    </w:p>
    <w:p w:rsidR="00377458" w:rsidRDefault="00377458" w:rsidP="001344F7">
      <w:pPr>
        <w:pStyle w:val="BodyTextIndent2"/>
        <w:numPr>
          <w:ilvl w:val="0"/>
          <w:numId w:val="18"/>
        </w:numPr>
        <w:ind w:left="1259"/>
      </w:pPr>
      <w:r>
        <w:t>If the number of nominations received is equal to the number of vacancies to be filled, the persons nominated shall be deemed to be elected.</w:t>
      </w:r>
    </w:p>
    <w:p w:rsidR="00377458" w:rsidRDefault="00377458" w:rsidP="001344F7">
      <w:pPr>
        <w:pStyle w:val="BodyTextIndent2"/>
        <w:numPr>
          <w:ilvl w:val="0"/>
          <w:numId w:val="18"/>
        </w:numPr>
        <w:ind w:left="1259"/>
      </w:pPr>
      <w:r>
        <w:t>If the number of nominations exceeds the number of vacancies to be filled, a ballot shall be held.</w:t>
      </w:r>
    </w:p>
    <w:p w:rsidR="00377458" w:rsidRDefault="00377458" w:rsidP="001344F7">
      <w:pPr>
        <w:pStyle w:val="BodyTextIndent2"/>
        <w:numPr>
          <w:ilvl w:val="0"/>
          <w:numId w:val="18"/>
        </w:numPr>
        <w:ind w:left="1259"/>
      </w:pPr>
      <w:r>
        <w:t>The ballot for the election of officers and ordinary committeemen shall be conducted at the annual general meeting in such usual and proper manner as the committee may direct.</w:t>
      </w:r>
    </w:p>
    <w:p w:rsidR="00377458" w:rsidRDefault="00377458" w:rsidP="001344F7">
      <w:pPr>
        <w:pStyle w:val="BodyTextIndent2"/>
        <w:ind w:left="1259"/>
      </w:pPr>
    </w:p>
    <w:p w:rsidR="00377458" w:rsidRDefault="00377458" w:rsidP="001344F7">
      <w:pPr>
        <w:pStyle w:val="BodyTextIndent2"/>
        <w:numPr>
          <w:ilvl w:val="0"/>
          <w:numId w:val="17"/>
        </w:numPr>
      </w:pPr>
      <w:r>
        <w:t>VACANCY</w:t>
      </w:r>
    </w:p>
    <w:p w:rsidR="00377458" w:rsidRDefault="00377458" w:rsidP="00377458">
      <w:pPr>
        <w:pStyle w:val="BodyTextIndent2"/>
      </w:pPr>
    </w:p>
    <w:p w:rsidR="00377458" w:rsidRDefault="00377458" w:rsidP="001344F7">
      <w:pPr>
        <w:pStyle w:val="BodyTextIndent2"/>
        <w:numPr>
          <w:ilvl w:val="1"/>
          <w:numId w:val="17"/>
        </w:numPr>
        <w:tabs>
          <w:tab w:val="clear" w:pos="540"/>
        </w:tabs>
      </w:pPr>
      <w:r>
        <w:t xml:space="preserve">For the purposes of these rules, the office of an officer of the Association or of an ordinary committeeman becomes vacant if the officer or committeeman – </w:t>
      </w:r>
    </w:p>
    <w:p w:rsidR="00377458" w:rsidRDefault="00377458" w:rsidP="001344F7">
      <w:pPr>
        <w:pStyle w:val="BodyTextIndent2"/>
        <w:numPr>
          <w:ilvl w:val="3"/>
          <w:numId w:val="17"/>
        </w:numPr>
      </w:pPr>
      <w:r>
        <w:t>dies;</w:t>
      </w:r>
    </w:p>
    <w:p w:rsidR="00377458" w:rsidRDefault="00377458" w:rsidP="001344F7">
      <w:pPr>
        <w:pStyle w:val="BodyTextIndent2"/>
        <w:numPr>
          <w:ilvl w:val="3"/>
          <w:numId w:val="17"/>
        </w:numPr>
      </w:pPr>
      <w:r>
        <w:t>becomes bankrupt or applies to take or takes advantage of any law relating to bankrupt or insolvent debtors or compounds with his creditors, or makes any assignment of his estate to their benefit;</w:t>
      </w:r>
    </w:p>
    <w:p w:rsidR="00377458" w:rsidRDefault="00377458" w:rsidP="001344F7">
      <w:pPr>
        <w:pStyle w:val="BodyTextIndent2"/>
        <w:numPr>
          <w:ilvl w:val="3"/>
          <w:numId w:val="17"/>
        </w:numPr>
      </w:pPr>
      <w:r>
        <w:t>becomes of unsound mind;</w:t>
      </w:r>
    </w:p>
    <w:p w:rsidR="00377458" w:rsidRDefault="00377458" w:rsidP="001344F7">
      <w:pPr>
        <w:pStyle w:val="BodyTextIndent2"/>
        <w:numPr>
          <w:ilvl w:val="3"/>
          <w:numId w:val="17"/>
        </w:numPr>
      </w:pPr>
      <w:r>
        <w:t>resigns his office by writing under his hand addressed to the committee;</w:t>
      </w:r>
    </w:p>
    <w:p w:rsidR="00377458" w:rsidRDefault="00377458" w:rsidP="001344F7">
      <w:pPr>
        <w:pStyle w:val="BodyTextIndent2"/>
        <w:numPr>
          <w:ilvl w:val="3"/>
          <w:numId w:val="17"/>
        </w:numPr>
      </w:pPr>
      <w:r>
        <w:t>ceases to be resident in the State;</w:t>
      </w:r>
    </w:p>
    <w:p w:rsidR="00377458" w:rsidRDefault="00377458" w:rsidP="001344F7">
      <w:pPr>
        <w:pStyle w:val="BodyTextIndent2"/>
        <w:numPr>
          <w:ilvl w:val="3"/>
          <w:numId w:val="17"/>
        </w:numPr>
      </w:pPr>
      <w:r>
        <w:t>fails, without leave granted by the committee, to attend three consecutive meetings of committee;</w:t>
      </w:r>
    </w:p>
    <w:p w:rsidR="00377458" w:rsidRDefault="00377458" w:rsidP="001344F7">
      <w:pPr>
        <w:pStyle w:val="BodyTextIndent2"/>
        <w:numPr>
          <w:ilvl w:val="3"/>
          <w:numId w:val="17"/>
        </w:numPr>
      </w:pPr>
      <w:r>
        <w:t>ceased to be a member of the Association; or</w:t>
      </w:r>
    </w:p>
    <w:p w:rsidR="00377458" w:rsidRDefault="00D462FC" w:rsidP="001344F7">
      <w:pPr>
        <w:pStyle w:val="BodyTextIndent2"/>
        <w:numPr>
          <w:ilvl w:val="3"/>
          <w:numId w:val="17"/>
        </w:numPr>
      </w:pPr>
      <w:r>
        <w:lastRenderedPageBreak/>
        <w:t>Fails</w:t>
      </w:r>
      <w:r w:rsidR="00377458">
        <w:t xml:space="preserve"> to pay all arrears of subscription due by him within fourteen days after he has received a notice in writing signed by the </w:t>
      </w:r>
      <w:r w:rsidR="001344F7">
        <w:t>Secretary</w:t>
      </w:r>
      <w:r w:rsidR="00377458">
        <w:t xml:space="preserve"> stating that he has ceased to be a financial member of the Association.</w:t>
      </w:r>
    </w:p>
    <w:p w:rsidR="00377458" w:rsidRDefault="00377458" w:rsidP="00377458"/>
    <w:p w:rsidR="00377458" w:rsidRDefault="00377458" w:rsidP="001344F7">
      <w:pPr>
        <w:pStyle w:val="BodyTextIndent2"/>
        <w:numPr>
          <w:ilvl w:val="0"/>
          <w:numId w:val="17"/>
        </w:numPr>
      </w:pPr>
      <w:r>
        <w:t>EXPULSION AND DISCIPLINE</w:t>
      </w:r>
    </w:p>
    <w:p w:rsidR="00377458" w:rsidRDefault="00377458" w:rsidP="00377458">
      <w:pPr>
        <w:pStyle w:val="BodyTextIndent2"/>
      </w:pPr>
    </w:p>
    <w:p w:rsidR="00377458" w:rsidRDefault="00377458" w:rsidP="001344F7">
      <w:pPr>
        <w:pStyle w:val="BodyTextIndent2"/>
        <w:ind w:left="360" w:firstLine="0"/>
      </w:pPr>
      <w:r>
        <w:t>Subject to this rule, the committee may expel a member from the Association, if, in the opinion of the committee the member has been guilty of conduct detrimental to the interests of the Association.</w:t>
      </w:r>
    </w:p>
    <w:p w:rsidR="00377458" w:rsidRDefault="00377458" w:rsidP="001344F7">
      <w:pPr>
        <w:pStyle w:val="BodyTextIndent2"/>
        <w:ind w:left="360" w:firstLine="0"/>
      </w:pPr>
      <w:r>
        <w:t xml:space="preserve">The expulsion of a member pursuant to sub-rule (1) of this rule does not take effect – </w:t>
      </w:r>
    </w:p>
    <w:p w:rsidR="00377458" w:rsidRDefault="00377458" w:rsidP="001344F7">
      <w:pPr>
        <w:pStyle w:val="BodyTextIndent2"/>
        <w:numPr>
          <w:ilvl w:val="1"/>
          <w:numId w:val="17"/>
        </w:numPr>
      </w:pPr>
      <w:r>
        <w:t>Until the expiration of fourteen days after the service on the member of a notice under sub-rule (3) of this rule; or</w:t>
      </w:r>
    </w:p>
    <w:p w:rsidR="00377458" w:rsidRDefault="00377458" w:rsidP="001344F7">
      <w:pPr>
        <w:pStyle w:val="BodyTextIndent2"/>
        <w:numPr>
          <w:ilvl w:val="1"/>
          <w:numId w:val="17"/>
        </w:numPr>
      </w:pPr>
      <w:r>
        <w:t xml:space="preserve">If the member exercises his right of </w:t>
      </w:r>
      <w:r w:rsidR="00D462FC">
        <w:t>appeal</w:t>
      </w:r>
      <w:r>
        <w:t xml:space="preserve"> under his rule, until the conclusion of the meeting convened to hear the appeal, which is the later date.</w:t>
      </w:r>
    </w:p>
    <w:p w:rsidR="00377458" w:rsidRDefault="00377458" w:rsidP="001344F7">
      <w:pPr>
        <w:pStyle w:val="BodyTextIndent2"/>
        <w:ind w:left="360" w:firstLine="0"/>
      </w:pPr>
      <w:r>
        <w:t xml:space="preserve">Where the committee expels a member from the Association, the </w:t>
      </w:r>
      <w:r w:rsidR="001344F7">
        <w:t>Secretary</w:t>
      </w:r>
      <w:r>
        <w:t xml:space="preserve"> of the Association shall, without undue delay, cause to be served on the member, a notice in writing – </w:t>
      </w:r>
    </w:p>
    <w:p w:rsidR="00377458" w:rsidRDefault="00377458" w:rsidP="001344F7">
      <w:pPr>
        <w:pStyle w:val="BodyTextIndent2"/>
        <w:numPr>
          <w:ilvl w:val="1"/>
          <w:numId w:val="17"/>
        </w:numPr>
      </w:pPr>
      <w:r>
        <w:t>stating that the committee has expelled the member;</w:t>
      </w:r>
    </w:p>
    <w:p w:rsidR="00377458" w:rsidRDefault="00377458" w:rsidP="001344F7">
      <w:pPr>
        <w:pStyle w:val="BodyTextIndent2"/>
        <w:numPr>
          <w:ilvl w:val="1"/>
          <w:numId w:val="17"/>
        </w:numPr>
      </w:pPr>
      <w:r>
        <w:t>specifying the grounds for the expulsion, and</w:t>
      </w:r>
    </w:p>
    <w:p w:rsidR="00377458" w:rsidRDefault="00377458" w:rsidP="001344F7">
      <w:pPr>
        <w:pStyle w:val="BodyTextIndent2"/>
        <w:numPr>
          <w:ilvl w:val="1"/>
          <w:numId w:val="17"/>
        </w:numPr>
      </w:pPr>
      <w:r>
        <w:t>informing the member that if he so desires, he may, within fourteen days after the service of the notice on him, appear against the expulsion to a panel of three Life Members as provided in this rule;</w:t>
      </w:r>
    </w:p>
    <w:p w:rsidR="00377458" w:rsidRDefault="00377458" w:rsidP="001344F7">
      <w:pPr>
        <w:pStyle w:val="BodyTextIndent2"/>
        <w:numPr>
          <w:ilvl w:val="1"/>
          <w:numId w:val="17"/>
        </w:numPr>
      </w:pPr>
      <w:r>
        <w:t xml:space="preserve">a member on whom a notice under sub-rule (3) of this rule is served, may appear against the expulsion to the panel mentioned in sub-rule c. hereof by delivering or sending by post to the </w:t>
      </w:r>
      <w:r w:rsidR="001344F7">
        <w:t>Secretary</w:t>
      </w:r>
      <w:r>
        <w:t xml:space="preserve"> of the Association, within fourteen days after the service of that notice, a requisition in writing demanding the convening of such a meeting of the purpose of hearing his appeal;</w:t>
      </w:r>
    </w:p>
    <w:p w:rsidR="00377458" w:rsidRDefault="00377458" w:rsidP="001344F7">
      <w:pPr>
        <w:pStyle w:val="BodyTextIndent2"/>
        <w:numPr>
          <w:ilvl w:val="1"/>
          <w:numId w:val="17"/>
        </w:numPr>
      </w:pPr>
      <w:r>
        <w:t xml:space="preserve">upon receipt of a requisition under sub-rule d. of this rule, the </w:t>
      </w:r>
      <w:r w:rsidR="001344F7">
        <w:t>Secretary</w:t>
      </w:r>
      <w:r>
        <w:t xml:space="preserve"> shall forthwith notify the panel of its receipt and the panel shall thereupon cause a special meeting to be held within fourteen days after the date on which the requisition is received by the </w:t>
      </w:r>
      <w:r w:rsidR="001344F7">
        <w:t>Secretary</w:t>
      </w:r>
      <w:r>
        <w:t>;</w:t>
      </w:r>
    </w:p>
    <w:p w:rsidR="00377458" w:rsidRDefault="00377458" w:rsidP="001344F7">
      <w:pPr>
        <w:pStyle w:val="BodyTextIndent2"/>
        <w:numPr>
          <w:ilvl w:val="1"/>
          <w:numId w:val="17"/>
        </w:numPr>
      </w:pPr>
      <w:r>
        <w:t xml:space="preserve">at a special meeting convened for the purpose of this rule – </w:t>
      </w:r>
    </w:p>
    <w:p w:rsidR="00377458" w:rsidRDefault="00377458" w:rsidP="001344F7">
      <w:pPr>
        <w:pStyle w:val="BodyTextIndent2"/>
        <w:numPr>
          <w:ilvl w:val="2"/>
          <w:numId w:val="17"/>
        </w:numPr>
      </w:pPr>
      <w:r>
        <w:t>the committee may place before the meeting, details of the grounds of the expulsion and the committee’s reasons for the expulsion;</w:t>
      </w:r>
    </w:p>
    <w:p w:rsidR="00377458" w:rsidRDefault="00377458" w:rsidP="001344F7">
      <w:pPr>
        <w:pStyle w:val="BodyTextIndent2"/>
        <w:numPr>
          <w:ilvl w:val="2"/>
          <w:numId w:val="17"/>
        </w:numPr>
      </w:pPr>
      <w:r>
        <w:t>the expelled member shall be given an opportunity to be heard; and</w:t>
      </w:r>
    </w:p>
    <w:p w:rsidR="00377458" w:rsidRDefault="00377458" w:rsidP="001344F7">
      <w:pPr>
        <w:pStyle w:val="BodyTextIndent2"/>
        <w:numPr>
          <w:ilvl w:val="2"/>
          <w:numId w:val="17"/>
        </w:numPr>
      </w:pPr>
      <w:r>
        <w:t>the panel present shall vote by secret ballot on the question whether the expulsion should be lifted or confirmed.</w:t>
      </w:r>
    </w:p>
    <w:p w:rsidR="00377458" w:rsidRDefault="00377458" w:rsidP="00377458">
      <w:pPr>
        <w:pStyle w:val="BodyTextIndent2"/>
      </w:pPr>
    </w:p>
    <w:p w:rsidR="00377458" w:rsidRDefault="00377458" w:rsidP="001344F7">
      <w:pPr>
        <w:pStyle w:val="BodyTextIndent2"/>
        <w:numPr>
          <w:ilvl w:val="0"/>
          <w:numId w:val="17"/>
        </w:numPr>
      </w:pPr>
      <w:r>
        <w:t>ARBITRATION</w:t>
      </w:r>
    </w:p>
    <w:p w:rsidR="00377458" w:rsidRDefault="00377458" w:rsidP="00377458">
      <w:pPr>
        <w:pStyle w:val="BodyTextIndent2"/>
      </w:pPr>
    </w:p>
    <w:p w:rsidR="00377458" w:rsidRDefault="00377458" w:rsidP="001344F7">
      <w:pPr>
        <w:pStyle w:val="BodyTextIndent2"/>
        <w:ind w:left="360" w:firstLine="0"/>
      </w:pPr>
      <w:r>
        <w:t xml:space="preserve">Subject to this rule, a dispute between a </w:t>
      </w:r>
      <w:r w:rsidR="00D462FC">
        <w:t>members</w:t>
      </w:r>
      <w:r>
        <w:t xml:space="preserve"> of the Association in his capacity as a member in the Association, shall be determined by arbitration in accordance with the provisions of the Arbitration Act 1982;</w:t>
      </w:r>
    </w:p>
    <w:p w:rsidR="00377458" w:rsidRDefault="00377458" w:rsidP="001344F7">
      <w:pPr>
        <w:pStyle w:val="BodyTextIndent2"/>
        <w:ind w:left="360" w:firstLine="0"/>
      </w:pPr>
      <w:r>
        <w:t>Nothing in this rule affects the operation or effect of rule 32.</w:t>
      </w:r>
    </w:p>
    <w:p w:rsidR="00377458" w:rsidRDefault="00377458"/>
    <w:p w:rsidR="00377458" w:rsidRDefault="001344F7" w:rsidP="001344F7">
      <w:pPr>
        <w:pStyle w:val="BodyTextIndent2"/>
        <w:numPr>
          <w:ilvl w:val="0"/>
          <w:numId w:val="17"/>
        </w:numPr>
      </w:pPr>
      <w:r>
        <w:t xml:space="preserve"> </w:t>
      </w:r>
      <w:r w:rsidR="00377458">
        <w:t>STATEMENTS</w:t>
      </w:r>
    </w:p>
    <w:p w:rsidR="00377458" w:rsidRDefault="00377458" w:rsidP="00377458">
      <w:pPr>
        <w:pStyle w:val="BodyTextIndent2"/>
      </w:pPr>
    </w:p>
    <w:p w:rsidR="00377458" w:rsidRDefault="00377458" w:rsidP="001344F7">
      <w:pPr>
        <w:pStyle w:val="BodyTextIndent2"/>
        <w:numPr>
          <w:ilvl w:val="2"/>
          <w:numId w:val="17"/>
        </w:numPr>
        <w:tabs>
          <w:tab w:val="clear" w:pos="540"/>
        </w:tabs>
      </w:pPr>
      <w:r>
        <w:t xml:space="preserve">No member of the Association shall make any public statement of appearances particularly to the media, without permission of the </w:t>
      </w:r>
      <w:r w:rsidR="00B1351C">
        <w:t xml:space="preserve">Executive </w:t>
      </w:r>
      <w:r w:rsidRPr="00B1351C">
        <w:t>committee.</w:t>
      </w:r>
    </w:p>
    <w:p w:rsidR="00377458" w:rsidRDefault="00377458"/>
    <w:p w:rsidR="006E1D93" w:rsidRDefault="006E1D93"/>
    <w:p w:rsidR="006E1D93" w:rsidRDefault="006E1D93"/>
    <w:p w:rsidR="006E1D93" w:rsidRDefault="006E1D93"/>
    <w:p w:rsidR="006E1D93" w:rsidRDefault="006E1D93"/>
    <w:sectPr w:rsidR="006E1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45F"/>
    <w:multiLevelType w:val="hybridMultilevel"/>
    <w:tmpl w:val="FDC62CCC"/>
    <w:lvl w:ilvl="0" w:tplc="0C09000F">
      <w:start w:val="1"/>
      <w:numFmt w:val="decimal"/>
      <w:lvlText w:val="%1."/>
      <w:lvlJc w:val="left"/>
      <w:pPr>
        <w:ind w:left="1979" w:hanging="360"/>
      </w:p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 w15:restartNumberingAfterBreak="0">
    <w:nsid w:val="05484AAD"/>
    <w:multiLevelType w:val="hybridMultilevel"/>
    <w:tmpl w:val="39A829DA"/>
    <w:lvl w:ilvl="0" w:tplc="0C090015">
      <w:start w:val="1"/>
      <w:numFmt w:val="upp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3D23A2"/>
    <w:multiLevelType w:val="hybridMultilevel"/>
    <w:tmpl w:val="945AE902"/>
    <w:lvl w:ilvl="0" w:tplc="55504DA6">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BF1C2A"/>
    <w:multiLevelType w:val="hybridMultilevel"/>
    <w:tmpl w:val="697400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77997"/>
    <w:multiLevelType w:val="hybridMultilevel"/>
    <w:tmpl w:val="C07CE56E"/>
    <w:lvl w:ilvl="0" w:tplc="8DA0991E">
      <w:start w:val="2"/>
      <w:numFmt w:val="decimal"/>
      <w:lvlText w:val="(%1)"/>
      <w:lvlJc w:val="left"/>
      <w:pPr>
        <w:tabs>
          <w:tab w:val="num" w:pos="900"/>
        </w:tabs>
        <w:ind w:left="900" w:hanging="360"/>
      </w:pPr>
      <w:rPr>
        <w:rFonts w:hint="default"/>
      </w:rPr>
    </w:lvl>
    <w:lvl w:ilvl="1" w:tplc="4680F136">
      <w:start w:val="30"/>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5FA523B"/>
    <w:multiLevelType w:val="hybridMultilevel"/>
    <w:tmpl w:val="F2C07784"/>
    <w:lvl w:ilvl="0" w:tplc="29D8B180">
      <w:start w:val="2"/>
      <w:numFmt w:val="decimal"/>
      <w:lvlText w:val="(%1)"/>
      <w:lvlJc w:val="left"/>
      <w:pPr>
        <w:tabs>
          <w:tab w:val="num" w:pos="900"/>
        </w:tabs>
        <w:ind w:left="900" w:hanging="360"/>
      </w:pPr>
      <w:rPr>
        <w:rFonts w:hint="default"/>
      </w:rPr>
    </w:lvl>
    <w:lvl w:ilvl="1" w:tplc="7958B9C0">
      <w:start w:val="35"/>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94A657F"/>
    <w:multiLevelType w:val="hybridMultilevel"/>
    <w:tmpl w:val="F7DA06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A070E5"/>
    <w:multiLevelType w:val="hybridMultilevel"/>
    <w:tmpl w:val="68C4A24A"/>
    <w:lvl w:ilvl="0" w:tplc="109689D4">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57C4058"/>
    <w:multiLevelType w:val="hybridMultilevel"/>
    <w:tmpl w:val="D910F016"/>
    <w:lvl w:ilvl="0" w:tplc="4580B9AE">
      <w:start w:val="1"/>
      <w:numFmt w:val="decimal"/>
      <w:lvlText w:val="(%1)"/>
      <w:lvlJc w:val="left"/>
      <w:pPr>
        <w:tabs>
          <w:tab w:val="num" w:pos="900"/>
        </w:tabs>
        <w:ind w:left="900" w:hanging="360"/>
      </w:pPr>
      <w:rPr>
        <w:rFonts w:hint="default"/>
      </w:rPr>
    </w:lvl>
    <w:lvl w:ilvl="1" w:tplc="66A2DA3A">
      <w:start w:val="17"/>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C4FCABF6">
      <w:start w:val="1"/>
      <w:numFmt w:val="low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8917BC5"/>
    <w:multiLevelType w:val="hybridMultilevel"/>
    <w:tmpl w:val="225202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601908"/>
    <w:multiLevelType w:val="hybridMultilevel"/>
    <w:tmpl w:val="D8B2CA8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A5476B6"/>
    <w:multiLevelType w:val="hybridMultilevel"/>
    <w:tmpl w:val="05701932"/>
    <w:lvl w:ilvl="0" w:tplc="B8CCF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961A18"/>
    <w:multiLevelType w:val="hybridMultilevel"/>
    <w:tmpl w:val="9EA23D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131D68"/>
    <w:multiLevelType w:val="hybridMultilevel"/>
    <w:tmpl w:val="BE6CDA98"/>
    <w:lvl w:ilvl="0" w:tplc="8C4CB1CE">
      <w:start w:val="2"/>
      <w:numFmt w:val="decimal"/>
      <w:lvlText w:val="(%1)"/>
      <w:lvlJc w:val="left"/>
      <w:pPr>
        <w:tabs>
          <w:tab w:val="num" w:pos="900"/>
        </w:tabs>
        <w:ind w:left="900" w:hanging="360"/>
      </w:pPr>
      <w:rPr>
        <w:rFonts w:hint="default"/>
      </w:rPr>
    </w:lvl>
    <w:lvl w:ilvl="1" w:tplc="AF12EEC0">
      <w:start w:val="25"/>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860604D2">
      <w:start w:val="1"/>
      <w:numFmt w:val="lowerLetter"/>
      <w:lvlText w:val="(%4)"/>
      <w:lvlJc w:val="left"/>
      <w:pPr>
        <w:tabs>
          <w:tab w:val="num" w:pos="3600"/>
        </w:tabs>
        <w:ind w:left="3600" w:hanging="90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0CF51F0"/>
    <w:multiLevelType w:val="hybridMultilevel"/>
    <w:tmpl w:val="CE88AD4A"/>
    <w:lvl w:ilvl="0" w:tplc="9AE6DB7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63C71F0"/>
    <w:multiLevelType w:val="hybridMultilevel"/>
    <w:tmpl w:val="BEEE2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6A1ECE"/>
    <w:multiLevelType w:val="hybridMultilevel"/>
    <w:tmpl w:val="01EABD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D5D52"/>
    <w:multiLevelType w:val="hybridMultilevel"/>
    <w:tmpl w:val="B73E625C"/>
    <w:lvl w:ilvl="0" w:tplc="18803D44">
      <w:start w:val="1"/>
      <w:numFmt w:val="decimal"/>
      <w:lvlText w:val="(%1)"/>
      <w:lvlJc w:val="left"/>
      <w:pPr>
        <w:ind w:left="1800" w:hanging="360"/>
      </w:pPr>
      <w:rPr>
        <w:rFonts w:cs="Times New Roman"/>
      </w:rPr>
    </w:lvl>
    <w:lvl w:ilvl="1" w:tplc="0C090019">
      <w:start w:val="1"/>
      <w:numFmt w:val="lowerLetter"/>
      <w:lvlText w:val="%2."/>
      <w:lvlJc w:val="left"/>
      <w:pPr>
        <w:ind w:left="2520" w:hanging="360"/>
      </w:pPr>
      <w:rPr>
        <w:rFonts w:cs="Times New Roman"/>
      </w:rPr>
    </w:lvl>
    <w:lvl w:ilvl="2" w:tplc="0C09001B">
      <w:start w:val="1"/>
      <w:numFmt w:val="decimal"/>
      <w:lvlText w:val="%3."/>
      <w:lvlJc w:val="left"/>
      <w:pPr>
        <w:tabs>
          <w:tab w:val="num" w:pos="3240"/>
        </w:tabs>
        <w:ind w:left="3240" w:hanging="36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decimal"/>
      <w:lvlText w:val="%5."/>
      <w:lvlJc w:val="left"/>
      <w:pPr>
        <w:tabs>
          <w:tab w:val="num" w:pos="4680"/>
        </w:tabs>
        <w:ind w:left="4680" w:hanging="360"/>
      </w:pPr>
      <w:rPr>
        <w:rFonts w:cs="Times New Roman"/>
      </w:rPr>
    </w:lvl>
    <w:lvl w:ilvl="5" w:tplc="0C09001B">
      <w:start w:val="1"/>
      <w:numFmt w:val="decimal"/>
      <w:lvlText w:val="%6."/>
      <w:lvlJc w:val="left"/>
      <w:pPr>
        <w:tabs>
          <w:tab w:val="num" w:pos="5400"/>
        </w:tabs>
        <w:ind w:left="5400" w:hanging="36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decimal"/>
      <w:lvlText w:val="%8."/>
      <w:lvlJc w:val="left"/>
      <w:pPr>
        <w:tabs>
          <w:tab w:val="num" w:pos="6840"/>
        </w:tabs>
        <w:ind w:left="6840" w:hanging="360"/>
      </w:pPr>
      <w:rPr>
        <w:rFonts w:cs="Times New Roman"/>
      </w:rPr>
    </w:lvl>
    <w:lvl w:ilvl="8" w:tplc="0C09001B">
      <w:start w:val="1"/>
      <w:numFmt w:val="decimal"/>
      <w:lvlText w:val="%9."/>
      <w:lvlJc w:val="left"/>
      <w:pPr>
        <w:tabs>
          <w:tab w:val="num" w:pos="7560"/>
        </w:tabs>
        <w:ind w:left="7560" w:hanging="360"/>
      </w:pPr>
      <w:rPr>
        <w:rFonts w:cs="Times New Roman"/>
      </w:rPr>
    </w:lvl>
  </w:abstractNum>
  <w:abstractNum w:abstractNumId="18" w15:restartNumberingAfterBreak="0">
    <w:nsid w:val="5F7A164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184712"/>
    <w:multiLevelType w:val="hybridMultilevel"/>
    <w:tmpl w:val="CD9680F6"/>
    <w:lvl w:ilvl="0" w:tplc="561018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4823FA"/>
    <w:multiLevelType w:val="hybridMultilevel"/>
    <w:tmpl w:val="B048370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372C3F"/>
    <w:multiLevelType w:val="hybridMultilevel"/>
    <w:tmpl w:val="3D28B1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7"/>
  </w:num>
  <w:num w:numId="5">
    <w:abstractNumId w:val="2"/>
  </w:num>
  <w:num w:numId="6">
    <w:abstractNumId w:val="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5"/>
  </w:num>
  <w:num w:numId="10">
    <w:abstractNumId w:val="1"/>
  </w:num>
  <w:num w:numId="11">
    <w:abstractNumId w:val="20"/>
  </w:num>
  <w:num w:numId="12">
    <w:abstractNumId w:val="9"/>
  </w:num>
  <w:num w:numId="13">
    <w:abstractNumId w:val="19"/>
  </w:num>
  <w:num w:numId="14">
    <w:abstractNumId w:val="10"/>
  </w:num>
  <w:num w:numId="15">
    <w:abstractNumId w:val="12"/>
  </w:num>
  <w:num w:numId="16">
    <w:abstractNumId w:val="16"/>
  </w:num>
  <w:num w:numId="17">
    <w:abstractNumId w:val="18"/>
  </w:num>
  <w:num w:numId="18">
    <w:abstractNumId w:val="6"/>
  </w:num>
  <w:num w:numId="19">
    <w:abstractNumId w:val="4"/>
  </w:num>
  <w:num w:numId="20">
    <w:abstractNumId w:val="3"/>
  </w:num>
  <w:num w:numId="21">
    <w:abstractNumId w:val="11"/>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58"/>
    <w:rsid w:val="001340B7"/>
    <w:rsid w:val="001344F7"/>
    <w:rsid w:val="00377458"/>
    <w:rsid w:val="006E1D93"/>
    <w:rsid w:val="008F6197"/>
    <w:rsid w:val="00944BD3"/>
    <w:rsid w:val="0098256B"/>
    <w:rsid w:val="00AB57F9"/>
    <w:rsid w:val="00AE538B"/>
    <w:rsid w:val="00B1351C"/>
    <w:rsid w:val="00B71D13"/>
    <w:rsid w:val="00D462FC"/>
    <w:rsid w:val="00E80DEB"/>
    <w:rsid w:val="00F10699"/>
    <w:rsid w:val="00FD1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379E2-52D1-42C0-9977-0DF99CE8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7458"/>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377458"/>
    <w:pPr>
      <w:tabs>
        <w:tab w:val="left" w:pos="540"/>
      </w:tabs>
      <w:ind w:left="1440" w:hanging="1440"/>
    </w:pPr>
  </w:style>
  <w:style w:type="character" w:customStyle="1" w:styleId="BodyTextIndent2Char">
    <w:name w:val="Body Text Indent 2 Char"/>
    <w:basedOn w:val="DefaultParagraphFont"/>
    <w:link w:val="BodyTextIndent2"/>
    <w:semiHidden/>
    <w:rsid w:val="00377458"/>
    <w:rPr>
      <w:rFonts w:ascii="Verdana" w:eastAsia="Times New Roman" w:hAnsi="Verdana" w:cs="Times New Roman"/>
      <w:sz w:val="20"/>
      <w:szCs w:val="24"/>
    </w:rPr>
  </w:style>
  <w:style w:type="paragraph" w:styleId="ListParagraph">
    <w:name w:val="List Paragraph"/>
    <w:basedOn w:val="Normal"/>
    <w:uiPriority w:val="34"/>
    <w:qFormat/>
    <w:rsid w:val="00377458"/>
    <w:pPr>
      <w:ind w:left="720"/>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Darren Smith</cp:lastModifiedBy>
  <cp:revision>2</cp:revision>
  <dcterms:created xsi:type="dcterms:W3CDTF">2017-04-27T02:33:00Z</dcterms:created>
  <dcterms:modified xsi:type="dcterms:W3CDTF">2017-04-27T02:33:00Z</dcterms:modified>
</cp:coreProperties>
</file>